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F9" w:rsidRDefault="00F81DF9" w:rsidP="00AB0EF2">
      <w:pPr>
        <w:spacing w:after="0" w:line="240" w:lineRule="auto"/>
        <w:jc w:val="both"/>
        <w:rPr>
          <w:rFonts w:ascii="Times" w:eastAsia="Times New Roman" w:hAnsi="Times" w:cs="Times"/>
          <w:bCs/>
          <w:color w:val="222222"/>
          <w:sz w:val="24"/>
          <w:szCs w:val="24"/>
          <w:lang w:eastAsia="pt-BR"/>
        </w:rPr>
      </w:pPr>
    </w:p>
    <w:p w:rsidR="00F81DF9" w:rsidRDefault="00F81DF9" w:rsidP="00AB0EF2">
      <w:pPr>
        <w:spacing w:after="0" w:line="240" w:lineRule="auto"/>
        <w:jc w:val="both"/>
        <w:rPr>
          <w:rFonts w:ascii="Times" w:eastAsia="Times New Roman" w:hAnsi="Times" w:cs="Times"/>
          <w:bCs/>
          <w:color w:val="222222"/>
          <w:sz w:val="24"/>
          <w:szCs w:val="24"/>
          <w:lang w:eastAsia="pt-BR"/>
        </w:rPr>
      </w:pPr>
    </w:p>
    <w:p w:rsidR="00B47FC6" w:rsidRDefault="00B47FC6" w:rsidP="00B47FC6">
      <w:pPr>
        <w:spacing w:after="0" w:line="240" w:lineRule="auto"/>
        <w:jc w:val="center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ATA DA 3ª SESSÃO DE JULGAMENTO, PRESENCIAL (VIDEOCONFERÊNCIA), EM 03 DE FEVEREIRO DE 2022 - QUINTA-FEIRA</w:t>
      </w:r>
      <w:proofErr w:type="gram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br/>
      </w:r>
      <w:proofErr w:type="gramEnd"/>
    </w:p>
    <w:p w:rsidR="00B47FC6" w:rsidRDefault="00B47FC6" w:rsidP="00B47FC6">
      <w:pPr>
        <w:spacing w:after="0" w:line="24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PRESIDÊNCIA DO MINISTRO 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G</w:t>
      </w:r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>en</w:t>
      </w:r>
      <w:proofErr w:type="spellEnd"/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>Ex</w:t>
      </w:r>
      <w:proofErr w:type="spellEnd"/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LUIS CARLOS GOMES MATTOS</w:t>
      </w:r>
    </w:p>
    <w:p w:rsidR="00B47FC6" w:rsidRDefault="00B47FC6" w:rsidP="00B47FC6">
      <w:pPr>
        <w:spacing w:after="0" w:line="24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</w:p>
    <w:p w:rsidR="00B47FC6" w:rsidRDefault="00B47FC6" w:rsidP="00B47FC6">
      <w:pPr>
        <w:spacing w:after="0" w:line="24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Presentes os Ministros José 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Coêlho</w:t>
      </w:r>
      <w:proofErr w:type="spell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Ferreira, Maria Elizabeth Guimarães Teixeira Rocha, Artur Vidigal de Oliveira, Lúcio Mário de Barros Góes, José Barroso Filho, Francisco 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Joseli</w:t>
      </w:r>
      <w:proofErr w:type="spell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Parente Camelo, Marco Antônio de Farias, Péricles Aurélio Lima de Queiroz, Carlos 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Vuyk</w:t>
      </w:r>
      <w:proofErr w:type="spell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de Aquino, Leonardo Puntel, Celso Luiz Nazareth, Carlos Augusto Amaral Oliveira e</w:t>
      </w:r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Cláudio Portugal de Viveiros.</w:t>
      </w:r>
    </w:p>
    <w:p w:rsidR="00B47FC6" w:rsidRDefault="00B47FC6" w:rsidP="00B47FC6">
      <w:pPr>
        <w:spacing w:after="0" w:line="24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</w:p>
    <w:p w:rsidR="00B47FC6" w:rsidRDefault="00B47FC6" w:rsidP="00B47FC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Ausente, justificadamente, o Ministro 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Odilson</w:t>
      </w:r>
      <w:proofErr w:type="spell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Sampaio Benzi.</w:t>
      </w:r>
    </w:p>
    <w:p w:rsidR="00B47FC6" w:rsidRDefault="00B47FC6" w:rsidP="00B47FC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B47FC6" w:rsidRDefault="00B47FC6" w:rsidP="00B47FC6">
      <w:pPr>
        <w:spacing w:after="0" w:line="24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Presente o Subprocurador-Geral </w:t>
      </w:r>
      <w:proofErr w:type="gram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da Justiça Militar</w:t>
      </w:r>
      <w:proofErr w:type="gram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, designado, Dr. Samue</w:t>
      </w:r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>l Pereira.</w:t>
      </w:r>
    </w:p>
    <w:p w:rsidR="00B47FC6" w:rsidRDefault="00B47FC6" w:rsidP="00B47FC6">
      <w:pPr>
        <w:spacing w:after="0" w:line="24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</w:p>
    <w:p w:rsidR="00B47FC6" w:rsidRDefault="00B47FC6" w:rsidP="00B47FC6">
      <w:pPr>
        <w:spacing w:after="0" w:line="24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Presente a Secretária do Tribunal P</w:t>
      </w:r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leno, </w:t>
      </w:r>
      <w:proofErr w:type="spellStart"/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>Sonja</w:t>
      </w:r>
      <w:proofErr w:type="spellEnd"/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Christian </w:t>
      </w:r>
      <w:proofErr w:type="spellStart"/>
      <w:r>
        <w:rPr>
          <w:rFonts w:ascii="Times" w:eastAsia="Times New Roman" w:hAnsi="Times" w:cs="Times"/>
          <w:color w:val="222222"/>
          <w:sz w:val="24"/>
          <w:szCs w:val="24"/>
          <w:lang w:eastAsia="pt-BR"/>
        </w:rPr>
        <w:t>Wriedt.</w:t>
      </w:r>
      <w:proofErr w:type="spellEnd"/>
    </w:p>
    <w:p w:rsidR="00B47FC6" w:rsidRDefault="00B47FC6" w:rsidP="00B47FC6">
      <w:pPr>
        <w:spacing w:after="0" w:line="24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eastAsia="pt-BR"/>
        </w:rPr>
      </w:pPr>
    </w:p>
    <w:p w:rsidR="00B47FC6" w:rsidRPr="00B47FC6" w:rsidRDefault="00B47FC6" w:rsidP="00B47FC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A Sessão foi aberta às 13h30, tendo sido lida e aprovada a Ata da Sessão anterior.</w:t>
      </w:r>
    </w:p>
    <w:p w:rsidR="00B47FC6" w:rsidRPr="00B47FC6" w:rsidRDefault="00B47FC6" w:rsidP="00B4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FC6" w:rsidRPr="00B47FC6" w:rsidRDefault="00B47FC6" w:rsidP="00B47FC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pt-BR"/>
        </w:rPr>
      </w:pP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JULGAMENTOS</w:t>
      </w:r>
    </w:p>
    <w:p w:rsidR="00B47FC6" w:rsidRPr="00B47FC6" w:rsidRDefault="00B47FC6" w:rsidP="00B47FC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APELAÇÃO Nº 7000537-49.2021.7.00.0000. 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RELATORA: MINISTRA MARIA ELIZABETH GUIMARÃES TEIXEIRA ROCHA. REVISOR: MINISTRO CARLOS AUGUSTO AMARAL OLIVEIRA.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APELANTE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: MINISTÉRIO PÚBLICO MILITAR.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APELADOS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: PEDRO MANSUR FIDELIX e LUCAS MANSUR FIDELIX. ADVOGADO: PIETRO CARDIA LORENZONI (OAB: RS106962).</w:t>
      </w:r>
    </w:p>
    <w:p w:rsidR="00B47FC6" w:rsidRPr="00B47FC6" w:rsidRDefault="00B47FC6" w:rsidP="00B47F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O Plenário do Superior Tribunal Militar,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por unanimidade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, conheceu e negou provimento ao Apelo Ministerial, para manter íntegra a Sentença absolutória, pelos seus próprios e jurídicos fundamentos, nos termos do voto da Relatora Ministra MARIA ELIZABETH GUIMARÃES TEIXEIRA ROCHA. Na forma regimental, usaram da palavra o Subprocurador-Geral da Justiça Militar, Dr. Samuel Pereira, e o Advogado da Defesa, Dr. Pietro 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Cardia</w:t>
      </w:r>
      <w:proofErr w:type="spell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Lorenzoni</w:t>
      </w:r>
      <w:proofErr w:type="spell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. </w:t>
      </w:r>
    </w:p>
    <w:p w:rsidR="00B47FC6" w:rsidRPr="00B47FC6" w:rsidRDefault="00B47FC6" w:rsidP="00B47FC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APELAÇÃO Nº 7000083-69.2021.7.00.0000 - SEGREDO DE JUSTIÇA. 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RELATOR: MINISTRO JOSÉ COÊLHO FERREIRA. REVISOR: MINISTRO LÚCIO MÁRIO DE BARROS GÓES.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APELANTE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: A. D. S. L. ADVOGADOS: ERIC RAFAEL JACQUES DE MATTOS (OAB: RS61292), MARCELO CARLOS ZAMPIERI (OAB: RS38529), RODRIGO VIEGAS (OAB: RS60996), AIDIR COSTA DE OLIVEIRA (OAB: RS57391), BRUNO FOGIATO LENCINA (OAB: RS77809) e AUGUSTO BECKER (OAB: RS93239).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APELADO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: M. P.</w:t>
      </w:r>
    </w:p>
    <w:p w:rsidR="00B47FC6" w:rsidRPr="00B47FC6" w:rsidRDefault="00B47FC6" w:rsidP="00B47F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O Plenário do Superior Tribunal Militar,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por unanimidade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, acolheu parcialmente a preliminar suscitada pelo Ministério Público Militar, apenas para determinar a supressão da expressão “MP” da rubrica “PAREC MP2” constante do evento 321 da APM nº 7000118-14.2018.7.03.0303;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por unanimidade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, rejeitou a preliminar defensiva, de ausência de pressuposto de procedibilidade e de aplicação do instituto da decadência, por falta de amparo legal, convolando-se a impossibilidade de rejeição da denúncia por essa causa;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por unanimidade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, rejeitou a segunda preliminar defensiva, de nulidade da Sentença, por não 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lastRenderedPageBreak/>
        <w:t>encontrar guarida jurídica.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No mérito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, </w:t>
      </w:r>
      <w:r w:rsidRPr="00B47FC6">
        <w:rPr>
          <w:rFonts w:ascii="Times" w:eastAsia="Times New Roman" w:hAnsi="Times" w:cs="Times"/>
          <w:b/>
          <w:bCs/>
          <w:color w:val="222222"/>
          <w:sz w:val="24"/>
          <w:szCs w:val="24"/>
          <w:lang w:eastAsia="pt-BR"/>
        </w:rPr>
        <w:t>por unanimidade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, negou provimento ao recurso interposto pela Defesa de A. D. S. L., mantendo integralmente a Sentença hostilizada, nos termos do voto do Relator Ministro JOSÉ COÊLHO FERREIRA.</w:t>
      </w:r>
    </w:p>
    <w:p w:rsidR="00B47FC6" w:rsidRPr="00B47FC6" w:rsidRDefault="00B47FC6" w:rsidP="00B47FC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A Sessão foi encerrada às 15h45.</w:t>
      </w:r>
    </w:p>
    <w:p w:rsidR="00B47FC6" w:rsidRPr="00B47FC6" w:rsidRDefault="00B47FC6" w:rsidP="00B47FC6">
      <w:pPr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(Ata aprovada pelo Plenário virtual do Superior Tribunal Militar, no período de 07 a 10/02/2022, sob a presidência do Ministro 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Gen</w:t>
      </w:r>
      <w:proofErr w:type="spell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</w:t>
      </w:r>
      <w:proofErr w:type="spell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Ex</w:t>
      </w:r>
      <w:proofErr w:type="spellEnd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 xml:space="preserve"> LUIS CARLOS GOMES MATTOS</w:t>
      </w:r>
      <w:proofErr w:type="gramStart"/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)</w:t>
      </w:r>
      <w:proofErr w:type="gramEnd"/>
    </w:p>
    <w:p w:rsidR="00B47FC6" w:rsidRPr="00B47FC6" w:rsidRDefault="00B47FC6" w:rsidP="00B47FC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t>SONJA CHRISTIAN WRIEDT</w:t>
      </w:r>
      <w:r w:rsidRPr="00B47FC6">
        <w:rPr>
          <w:rFonts w:ascii="Times" w:eastAsia="Times New Roman" w:hAnsi="Times" w:cs="Times"/>
          <w:color w:val="222222"/>
          <w:sz w:val="24"/>
          <w:szCs w:val="24"/>
          <w:lang w:eastAsia="pt-BR"/>
        </w:rPr>
        <w:br/>
        <w:t>Secretária do Tribunal Pleno</w:t>
      </w:r>
      <w:bookmarkStart w:id="0" w:name="_GoBack"/>
      <w:bookmarkEnd w:id="0"/>
    </w:p>
    <w:sectPr w:rsidR="00B47FC6" w:rsidRPr="00B47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F9"/>
    <w:rsid w:val="00004996"/>
    <w:rsid w:val="0003680B"/>
    <w:rsid w:val="000413BB"/>
    <w:rsid w:val="00042D26"/>
    <w:rsid w:val="00046107"/>
    <w:rsid w:val="00054212"/>
    <w:rsid w:val="00057777"/>
    <w:rsid w:val="00070251"/>
    <w:rsid w:val="00080218"/>
    <w:rsid w:val="00080F2E"/>
    <w:rsid w:val="000839B8"/>
    <w:rsid w:val="0008681C"/>
    <w:rsid w:val="000917FB"/>
    <w:rsid w:val="0009387E"/>
    <w:rsid w:val="000938DA"/>
    <w:rsid w:val="000C200C"/>
    <w:rsid w:val="000D068C"/>
    <w:rsid w:val="000D1123"/>
    <w:rsid w:val="000D451D"/>
    <w:rsid w:val="000D4E07"/>
    <w:rsid w:val="000E20A2"/>
    <w:rsid w:val="000E5512"/>
    <w:rsid w:val="00101DE6"/>
    <w:rsid w:val="001054EF"/>
    <w:rsid w:val="001216EC"/>
    <w:rsid w:val="00133143"/>
    <w:rsid w:val="00136AA7"/>
    <w:rsid w:val="00137DE6"/>
    <w:rsid w:val="00140263"/>
    <w:rsid w:val="00142271"/>
    <w:rsid w:val="001465A8"/>
    <w:rsid w:val="0015235F"/>
    <w:rsid w:val="001722EB"/>
    <w:rsid w:val="001776BA"/>
    <w:rsid w:val="00187FD1"/>
    <w:rsid w:val="00191766"/>
    <w:rsid w:val="00193B1B"/>
    <w:rsid w:val="001943D5"/>
    <w:rsid w:val="001A5F83"/>
    <w:rsid w:val="001A61A7"/>
    <w:rsid w:val="001B73F3"/>
    <w:rsid w:val="001C0452"/>
    <w:rsid w:val="001C125E"/>
    <w:rsid w:val="001C3416"/>
    <w:rsid w:val="001C4BA0"/>
    <w:rsid w:val="001D47D7"/>
    <w:rsid w:val="00225BDF"/>
    <w:rsid w:val="0022780A"/>
    <w:rsid w:val="002279B1"/>
    <w:rsid w:val="002347DA"/>
    <w:rsid w:val="00242051"/>
    <w:rsid w:val="00257BA9"/>
    <w:rsid w:val="00260A87"/>
    <w:rsid w:val="002671E8"/>
    <w:rsid w:val="00271D1B"/>
    <w:rsid w:val="00287E47"/>
    <w:rsid w:val="00296FE4"/>
    <w:rsid w:val="002B13A5"/>
    <w:rsid w:val="002B160A"/>
    <w:rsid w:val="002B2730"/>
    <w:rsid w:val="002C6C60"/>
    <w:rsid w:val="002D3B28"/>
    <w:rsid w:val="002D3E95"/>
    <w:rsid w:val="002D7A02"/>
    <w:rsid w:val="002E3F0E"/>
    <w:rsid w:val="002F27C0"/>
    <w:rsid w:val="002F354C"/>
    <w:rsid w:val="00313D51"/>
    <w:rsid w:val="00316D8D"/>
    <w:rsid w:val="00323AAD"/>
    <w:rsid w:val="00326C2C"/>
    <w:rsid w:val="00330633"/>
    <w:rsid w:val="00333575"/>
    <w:rsid w:val="003423DC"/>
    <w:rsid w:val="00342457"/>
    <w:rsid w:val="003437B0"/>
    <w:rsid w:val="00345C5A"/>
    <w:rsid w:val="003539DD"/>
    <w:rsid w:val="0038435E"/>
    <w:rsid w:val="003B5FCF"/>
    <w:rsid w:val="003C0EF4"/>
    <w:rsid w:val="003C5B2E"/>
    <w:rsid w:val="003E7A52"/>
    <w:rsid w:val="003F5D92"/>
    <w:rsid w:val="003F7C76"/>
    <w:rsid w:val="00430F8E"/>
    <w:rsid w:val="00431DC0"/>
    <w:rsid w:val="00444EAD"/>
    <w:rsid w:val="00446B7A"/>
    <w:rsid w:val="00456862"/>
    <w:rsid w:val="004626D3"/>
    <w:rsid w:val="00462C61"/>
    <w:rsid w:val="00462EC0"/>
    <w:rsid w:val="00482D00"/>
    <w:rsid w:val="00484954"/>
    <w:rsid w:val="00486A6E"/>
    <w:rsid w:val="004873E4"/>
    <w:rsid w:val="004A0C1E"/>
    <w:rsid w:val="004A6C56"/>
    <w:rsid w:val="004E73DC"/>
    <w:rsid w:val="004F05C3"/>
    <w:rsid w:val="004F3F1B"/>
    <w:rsid w:val="00503DA4"/>
    <w:rsid w:val="00510244"/>
    <w:rsid w:val="005104D4"/>
    <w:rsid w:val="00516342"/>
    <w:rsid w:val="00521B6C"/>
    <w:rsid w:val="00532E6E"/>
    <w:rsid w:val="0056694F"/>
    <w:rsid w:val="00571577"/>
    <w:rsid w:val="00575884"/>
    <w:rsid w:val="005770FC"/>
    <w:rsid w:val="00580D28"/>
    <w:rsid w:val="00582ECA"/>
    <w:rsid w:val="005A0A31"/>
    <w:rsid w:val="005B2609"/>
    <w:rsid w:val="005B2FFA"/>
    <w:rsid w:val="005B323A"/>
    <w:rsid w:val="005C65DC"/>
    <w:rsid w:val="005D5429"/>
    <w:rsid w:val="005E2194"/>
    <w:rsid w:val="005E6A4C"/>
    <w:rsid w:val="0060653A"/>
    <w:rsid w:val="00616C26"/>
    <w:rsid w:val="006414F9"/>
    <w:rsid w:val="006469A1"/>
    <w:rsid w:val="0066502C"/>
    <w:rsid w:val="00687D4A"/>
    <w:rsid w:val="006A60B5"/>
    <w:rsid w:val="006C3FA6"/>
    <w:rsid w:val="006D3618"/>
    <w:rsid w:val="006D5B1F"/>
    <w:rsid w:val="006E1341"/>
    <w:rsid w:val="006E4271"/>
    <w:rsid w:val="006F1D3A"/>
    <w:rsid w:val="006F41D9"/>
    <w:rsid w:val="006F4F57"/>
    <w:rsid w:val="0070466D"/>
    <w:rsid w:val="007068C4"/>
    <w:rsid w:val="00711C23"/>
    <w:rsid w:val="0071611E"/>
    <w:rsid w:val="00722CF8"/>
    <w:rsid w:val="00732E96"/>
    <w:rsid w:val="00736A39"/>
    <w:rsid w:val="00745E88"/>
    <w:rsid w:val="0076005B"/>
    <w:rsid w:val="00764455"/>
    <w:rsid w:val="0078254C"/>
    <w:rsid w:val="007A2360"/>
    <w:rsid w:val="007B1B3C"/>
    <w:rsid w:val="007E553E"/>
    <w:rsid w:val="00810A08"/>
    <w:rsid w:val="00815AB6"/>
    <w:rsid w:val="0083060C"/>
    <w:rsid w:val="0083590E"/>
    <w:rsid w:val="0084628D"/>
    <w:rsid w:val="00856BFF"/>
    <w:rsid w:val="00857197"/>
    <w:rsid w:val="00860E1C"/>
    <w:rsid w:val="00861C50"/>
    <w:rsid w:val="008726E8"/>
    <w:rsid w:val="008727E0"/>
    <w:rsid w:val="00881EA4"/>
    <w:rsid w:val="00892739"/>
    <w:rsid w:val="00894F26"/>
    <w:rsid w:val="008C0990"/>
    <w:rsid w:val="008C142F"/>
    <w:rsid w:val="00915F6A"/>
    <w:rsid w:val="00921F5C"/>
    <w:rsid w:val="00925A9D"/>
    <w:rsid w:val="009277BA"/>
    <w:rsid w:val="00933E48"/>
    <w:rsid w:val="00943624"/>
    <w:rsid w:val="009477D5"/>
    <w:rsid w:val="009C5AAA"/>
    <w:rsid w:val="009E189D"/>
    <w:rsid w:val="009E4D96"/>
    <w:rsid w:val="009F419A"/>
    <w:rsid w:val="009F5183"/>
    <w:rsid w:val="009F6888"/>
    <w:rsid w:val="00A00918"/>
    <w:rsid w:val="00A01216"/>
    <w:rsid w:val="00A07BC6"/>
    <w:rsid w:val="00A30A32"/>
    <w:rsid w:val="00A31ACF"/>
    <w:rsid w:val="00A416ED"/>
    <w:rsid w:val="00A42D2C"/>
    <w:rsid w:val="00A463B3"/>
    <w:rsid w:val="00A55082"/>
    <w:rsid w:val="00A61A9F"/>
    <w:rsid w:val="00A657EF"/>
    <w:rsid w:val="00A6780D"/>
    <w:rsid w:val="00A703F5"/>
    <w:rsid w:val="00A7089E"/>
    <w:rsid w:val="00A72DAC"/>
    <w:rsid w:val="00A80B7E"/>
    <w:rsid w:val="00A9469E"/>
    <w:rsid w:val="00AA2A45"/>
    <w:rsid w:val="00AA4498"/>
    <w:rsid w:val="00AB0EF2"/>
    <w:rsid w:val="00AC75EB"/>
    <w:rsid w:val="00AD3701"/>
    <w:rsid w:val="00AD77D9"/>
    <w:rsid w:val="00AE1DC5"/>
    <w:rsid w:val="00AE7D4B"/>
    <w:rsid w:val="00AF27F9"/>
    <w:rsid w:val="00B072FD"/>
    <w:rsid w:val="00B14E01"/>
    <w:rsid w:val="00B15F67"/>
    <w:rsid w:val="00B244B8"/>
    <w:rsid w:val="00B26146"/>
    <w:rsid w:val="00B2775B"/>
    <w:rsid w:val="00B30F75"/>
    <w:rsid w:val="00B34BC0"/>
    <w:rsid w:val="00B355F8"/>
    <w:rsid w:val="00B4071A"/>
    <w:rsid w:val="00B40D40"/>
    <w:rsid w:val="00B40FF1"/>
    <w:rsid w:val="00B410D1"/>
    <w:rsid w:val="00B46CB0"/>
    <w:rsid w:val="00B47FC6"/>
    <w:rsid w:val="00B5038B"/>
    <w:rsid w:val="00B52682"/>
    <w:rsid w:val="00B627AC"/>
    <w:rsid w:val="00B64EEA"/>
    <w:rsid w:val="00B72EE0"/>
    <w:rsid w:val="00B75EA5"/>
    <w:rsid w:val="00B92700"/>
    <w:rsid w:val="00BA141A"/>
    <w:rsid w:val="00BB678D"/>
    <w:rsid w:val="00BC0842"/>
    <w:rsid w:val="00BD16C8"/>
    <w:rsid w:val="00BD26A0"/>
    <w:rsid w:val="00BD4431"/>
    <w:rsid w:val="00BF13DB"/>
    <w:rsid w:val="00C02609"/>
    <w:rsid w:val="00C078DE"/>
    <w:rsid w:val="00C47AA5"/>
    <w:rsid w:val="00C52041"/>
    <w:rsid w:val="00C5275B"/>
    <w:rsid w:val="00C52EF2"/>
    <w:rsid w:val="00C545AF"/>
    <w:rsid w:val="00C87BC7"/>
    <w:rsid w:val="00CB3C70"/>
    <w:rsid w:val="00CB580D"/>
    <w:rsid w:val="00CB7FBB"/>
    <w:rsid w:val="00CC15F0"/>
    <w:rsid w:val="00CC7AA3"/>
    <w:rsid w:val="00CE6D08"/>
    <w:rsid w:val="00CF2818"/>
    <w:rsid w:val="00D03748"/>
    <w:rsid w:val="00D1148B"/>
    <w:rsid w:val="00D13931"/>
    <w:rsid w:val="00D175E9"/>
    <w:rsid w:val="00D25CAC"/>
    <w:rsid w:val="00D34130"/>
    <w:rsid w:val="00D44A75"/>
    <w:rsid w:val="00D46424"/>
    <w:rsid w:val="00D500A6"/>
    <w:rsid w:val="00D5192C"/>
    <w:rsid w:val="00D579DF"/>
    <w:rsid w:val="00D65E28"/>
    <w:rsid w:val="00D83229"/>
    <w:rsid w:val="00D916D0"/>
    <w:rsid w:val="00DA400A"/>
    <w:rsid w:val="00DB082D"/>
    <w:rsid w:val="00DB61FD"/>
    <w:rsid w:val="00DC2F6A"/>
    <w:rsid w:val="00DE3B3A"/>
    <w:rsid w:val="00DE6A08"/>
    <w:rsid w:val="00DE6CA9"/>
    <w:rsid w:val="00E045D8"/>
    <w:rsid w:val="00E14D4E"/>
    <w:rsid w:val="00E24C22"/>
    <w:rsid w:val="00E43A80"/>
    <w:rsid w:val="00E458C7"/>
    <w:rsid w:val="00E507B4"/>
    <w:rsid w:val="00E679FC"/>
    <w:rsid w:val="00E7119B"/>
    <w:rsid w:val="00E9721D"/>
    <w:rsid w:val="00EA2FDB"/>
    <w:rsid w:val="00EA5B6F"/>
    <w:rsid w:val="00EB1488"/>
    <w:rsid w:val="00EB15AF"/>
    <w:rsid w:val="00EC0566"/>
    <w:rsid w:val="00EC37E8"/>
    <w:rsid w:val="00ED2FCA"/>
    <w:rsid w:val="00EF29AC"/>
    <w:rsid w:val="00F059AB"/>
    <w:rsid w:val="00F07B55"/>
    <w:rsid w:val="00F10572"/>
    <w:rsid w:val="00F10F56"/>
    <w:rsid w:val="00F203BE"/>
    <w:rsid w:val="00F249A8"/>
    <w:rsid w:val="00F4027B"/>
    <w:rsid w:val="00F530E5"/>
    <w:rsid w:val="00F531B2"/>
    <w:rsid w:val="00F601A4"/>
    <w:rsid w:val="00F710FF"/>
    <w:rsid w:val="00F71400"/>
    <w:rsid w:val="00F7375A"/>
    <w:rsid w:val="00F81DF9"/>
    <w:rsid w:val="00F95B08"/>
    <w:rsid w:val="00FA05EF"/>
    <w:rsid w:val="00FB23AE"/>
    <w:rsid w:val="00FB3071"/>
    <w:rsid w:val="00FC58CF"/>
    <w:rsid w:val="00FE254F"/>
    <w:rsid w:val="00FE594A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5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A0A31"/>
    <w:rPr>
      <w:i/>
      <w:iCs/>
    </w:rPr>
  </w:style>
  <w:style w:type="character" w:styleId="Forte">
    <w:name w:val="Strong"/>
    <w:basedOn w:val="Fontepargpadro"/>
    <w:uiPriority w:val="22"/>
    <w:qFormat/>
    <w:rsid w:val="005770FC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9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0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40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059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5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A0A31"/>
    <w:rPr>
      <w:i/>
      <w:iCs/>
    </w:rPr>
  </w:style>
  <w:style w:type="character" w:styleId="Forte">
    <w:name w:val="Strong"/>
    <w:basedOn w:val="Fontepargpadro"/>
    <w:uiPriority w:val="22"/>
    <w:qFormat/>
    <w:rsid w:val="005770FC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9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0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40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059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6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5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01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1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3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SEPLE</dc:creator>
  <cp:lastModifiedBy>SEPLE</cp:lastModifiedBy>
  <cp:revision>2</cp:revision>
  <dcterms:created xsi:type="dcterms:W3CDTF">2022-02-10T21:07:00Z</dcterms:created>
  <dcterms:modified xsi:type="dcterms:W3CDTF">2022-02-10T21:07:00Z</dcterms:modified>
</cp:coreProperties>
</file>